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851"/>
        <w:gridCol w:w="2410"/>
        <w:gridCol w:w="283"/>
        <w:gridCol w:w="1822"/>
        <w:gridCol w:w="1465"/>
        <w:gridCol w:w="989"/>
        <w:gridCol w:w="2084"/>
        <w:gridCol w:w="976"/>
      </w:tblGrid>
      <w:tr w:rsidR="00010F86" w:rsidRPr="00010F86" w:rsidTr="00010F86">
        <w:trPr>
          <w:trHeight w:val="255"/>
        </w:trPr>
        <w:tc>
          <w:tcPr>
            <w:tcW w:w="851"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Level</w:t>
            </w:r>
          </w:p>
        </w:tc>
        <w:tc>
          <w:tcPr>
            <w:tcW w:w="2410"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3287"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Kabupaten Nunukan</w:t>
            </w:r>
          </w:p>
        </w:tc>
        <w:tc>
          <w:tcPr>
            <w:tcW w:w="989"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2084"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9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3261"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3287"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B. Kapasitas Pemerintah</w:t>
            </w:r>
          </w:p>
        </w:tc>
        <w:tc>
          <w:tcPr>
            <w:tcW w:w="989"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2084"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9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851"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2410"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82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65"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989"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2084"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9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3544" w:type="dxa"/>
            <w:gridSpan w:val="3"/>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Isu dalam PGA REDD+</w:t>
            </w:r>
          </w:p>
        </w:tc>
        <w:tc>
          <w:tcPr>
            <w:tcW w:w="6360" w:type="dxa"/>
            <w:gridSpan w:val="4"/>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I. Perencanaan Kehutanan dan Tata Ruang </w:t>
            </w:r>
          </w:p>
        </w:tc>
        <w:tc>
          <w:tcPr>
            <w:tcW w:w="9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330"/>
        </w:trPr>
        <w:tc>
          <w:tcPr>
            <w:tcW w:w="3261"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010F86" w:rsidRPr="00010F86" w:rsidTr="00010F86">
        <w:trPr>
          <w:trHeight w:val="255"/>
        </w:trPr>
        <w:tc>
          <w:tcPr>
            <w:tcW w:w="3261"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360" w:type="dxa"/>
            <w:gridSpan w:val="4"/>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9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14"/>
        <w:gridCol w:w="1438"/>
        <w:gridCol w:w="1776"/>
        <w:gridCol w:w="1212"/>
        <w:gridCol w:w="1528"/>
        <w:gridCol w:w="1182"/>
        <w:gridCol w:w="1653"/>
        <w:gridCol w:w="1382"/>
      </w:tblGrid>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BIa1</w:t>
            </w:r>
          </w:p>
        </w:tc>
        <w:tc>
          <w:tcPr>
            <w:tcW w:w="1438" w:type="dxa"/>
            <w:vMerge w:val="restart"/>
            <w:tcBorders>
              <w:top w:val="nil"/>
              <w:left w:val="single" w:sz="4" w:space="0" w:color="auto"/>
              <w:bottom w:val="single" w:sz="4" w:space="0" w:color="000000"/>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Latar belakang Pendidikan formal </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rata-rata bergelar sarjana</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765"/>
        </w:trPr>
        <w:tc>
          <w:tcPr>
            <w:tcW w:w="714"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PU</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kurang memadai karena hanya beberapa orang yang memiliki latar pendidikan yang sesuai.</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2</w:t>
            </w:r>
          </w:p>
        </w:tc>
      </w:tr>
      <w:tr w:rsidR="00010F86" w:rsidRPr="00010F86" w:rsidTr="00010F86">
        <w:trPr>
          <w:trHeight w:val="885"/>
        </w:trPr>
        <w:tc>
          <w:tcPr>
            <w:tcW w:w="714"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Bappeda</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4 orang PNS dan 2 orang honorer berlatar belakang sarjana kehutanan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BIa2</w:t>
            </w:r>
          </w:p>
        </w:tc>
        <w:tc>
          <w:tcPr>
            <w:tcW w:w="1438" w:type="dxa"/>
            <w:vMerge w:val="restart"/>
            <w:tcBorders>
              <w:top w:val="nil"/>
              <w:left w:val="single" w:sz="4" w:space="0" w:color="auto"/>
              <w:bottom w:val="single" w:sz="4" w:space="0" w:color="000000"/>
              <w:right w:val="single" w:sz="4" w:space="0" w:color="auto"/>
            </w:tcBorders>
            <w:shd w:val="clear" w:color="auto" w:fill="auto"/>
            <w:vAlign w:val="center"/>
            <w:hideMark/>
          </w:tcPr>
          <w:p w:rsidR="00010F86" w:rsidRPr="00010F86" w:rsidRDefault="00010F86" w:rsidP="00010F86">
            <w:pPr>
              <w:spacing w:after="24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Lama waktu kerja sebagai perencana </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bekerja dalam kurung waktu 6-8 bulan</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510"/>
        </w:trPr>
        <w:tc>
          <w:tcPr>
            <w:tcW w:w="714"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PU</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bekerja dalam kurung waktu 6 bulan</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990"/>
        </w:trPr>
        <w:tc>
          <w:tcPr>
            <w:tcW w:w="714"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Bappeda</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unit perencana cukup memadai. 6 orang PNS dan 5 orang honorer memiliki pengalaman sebagai perencana</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BIa3</w:t>
            </w:r>
          </w:p>
        </w:tc>
        <w:tc>
          <w:tcPr>
            <w:tcW w:w="1438" w:type="dxa"/>
            <w:vMerge w:val="restart"/>
            <w:tcBorders>
              <w:top w:val="nil"/>
              <w:left w:val="single" w:sz="4" w:space="0" w:color="auto"/>
              <w:bottom w:val="single" w:sz="4" w:space="0" w:color="000000"/>
              <w:right w:val="single" w:sz="4" w:space="0" w:color="auto"/>
            </w:tcBorders>
            <w:shd w:val="clear" w:color="auto" w:fill="auto"/>
            <w:vAlign w:val="center"/>
            <w:hideMark/>
          </w:tcPr>
          <w:p w:rsidR="00010F86" w:rsidRPr="00010F86" w:rsidRDefault="00010F86" w:rsidP="00010F86">
            <w:pPr>
              <w:spacing w:after="24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Sertifikat perencanaan wilayah </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SDM yang bertugas dalam unit perencana wilayah hanya 1 (satu) orang dari 4 (empat) orang yang memiliki sertifikat perencanaan wilayah.</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2</w:t>
            </w:r>
          </w:p>
        </w:tc>
      </w:tr>
      <w:tr w:rsidR="00010F86" w:rsidRPr="00010F86" w:rsidTr="00010F86">
        <w:trPr>
          <w:trHeight w:val="1020"/>
        </w:trPr>
        <w:tc>
          <w:tcPr>
            <w:tcW w:w="714"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PU</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seluruh SDM yang bertugas dalam unit perencana wilayah tidak memiliki sertifikat perencanaan </w:t>
            </w:r>
            <w:r w:rsidRPr="00010F86">
              <w:rPr>
                <w:rFonts w:ascii="Times New Roman" w:eastAsia="Times New Roman" w:hAnsi="Times New Roman" w:cs="Times New Roman"/>
                <w:color w:val="000000"/>
                <w:sz w:val="20"/>
                <w:szCs w:val="20"/>
                <w:lang w:eastAsia="id-ID"/>
              </w:rPr>
              <w:lastRenderedPageBreak/>
              <w:t>wilayah</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lastRenderedPageBreak/>
              <w:t>1</w:t>
            </w:r>
          </w:p>
        </w:tc>
      </w:tr>
      <w:tr w:rsidR="00010F86" w:rsidRPr="00010F86" w:rsidTr="00010F86">
        <w:trPr>
          <w:trHeight w:val="1020"/>
        </w:trPr>
        <w:tc>
          <w:tcPr>
            <w:tcW w:w="714"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Bappeda</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seluruh SDM yang bertugas dalam unit perencana wilayah tidak memiliki sertifikat perencanaan wilayah.</w:t>
            </w:r>
          </w:p>
        </w:tc>
        <w:tc>
          <w:tcPr>
            <w:tcW w:w="13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630"/>
        </w:trPr>
        <w:tc>
          <w:tcPr>
            <w:tcW w:w="3928" w:type="dxa"/>
            <w:gridSpan w:val="3"/>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single" w:sz="4" w:space="0" w:color="auto"/>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Kepala SKPD, dan Kepala Bagian Perencanaan</w:t>
            </w: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BIb1</w:t>
            </w:r>
          </w:p>
        </w:tc>
        <w:tc>
          <w:tcPr>
            <w:tcW w:w="1438" w:type="dxa"/>
            <w:vMerge w:val="restart"/>
            <w:tcBorders>
              <w:top w:val="nil"/>
              <w:left w:val="single" w:sz="4" w:space="0" w:color="auto"/>
              <w:bottom w:val="single" w:sz="4" w:space="0" w:color="000000"/>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Latar belakang Pendidikan formal </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rata-rata bergelar sarjana</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765"/>
        </w:trPr>
        <w:tc>
          <w:tcPr>
            <w:tcW w:w="714"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PU</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karena ada beberapa orang yang memiliki latar pendidikan yang sesuai</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780"/>
        </w:trPr>
        <w:tc>
          <w:tcPr>
            <w:tcW w:w="714"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Bappeda</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karena ada beberapa orang yang memiliki latar pendidikan yang sesuai</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BIb2</w:t>
            </w:r>
          </w:p>
        </w:tc>
        <w:tc>
          <w:tcPr>
            <w:tcW w:w="1438" w:type="dxa"/>
            <w:vMerge w:val="restart"/>
            <w:tcBorders>
              <w:top w:val="nil"/>
              <w:left w:val="single" w:sz="4" w:space="0" w:color="auto"/>
              <w:bottom w:val="single" w:sz="4" w:space="0" w:color="000000"/>
              <w:right w:val="single" w:sz="4" w:space="0" w:color="auto"/>
            </w:tcBorders>
            <w:shd w:val="clear" w:color="auto" w:fill="auto"/>
            <w:vAlign w:val="center"/>
            <w:hideMark/>
          </w:tcPr>
          <w:p w:rsidR="00010F86" w:rsidRPr="00010F86" w:rsidRDefault="00010F86" w:rsidP="00010F86">
            <w:pPr>
              <w:spacing w:after="24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Lama waktu kerja sebagai perencana </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kurang memadai karena hanya di beri waktu 2-3 bulan saja</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2</w:t>
            </w:r>
          </w:p>
        </w:tc>
      </w:tr>
      <w:tr w:rsidR="00010F86" w:rsidRPr="00010F86" w:rsidTr="00010F86">
        <w:trPr>
          <w:trHeight w:val="510"/>
        </w:trPr>
        <w:tc>
          <w:tcPr>
            <w:tcW w:w="714"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PU</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bekerja dalam kurung waktu 6-8 bulan</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945"/>
        </w:trPr>
        <w:tc>
          <w:tcPr>
            <w:tcW w:w="714"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Bappeda</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bekerja dalam kurung waktu 6 bulan</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BIb3</w:t>
            </w:r>
          </w:p>
        </w:tc>
        <w:tc>
          <w:tcPr>
            <w:tcW w:w="1438" w:type="dxa"/>
            <w:vMerge w:val="restart"/>
            <w:tcBorders>
              <w:top w:val="nil"/>
              <w:left w:val="single" w:sz="4" w:space="0" w:color="auto"/>
              <w:bottom w:val="single" w:sz="4" w:space="0" w:color="000000"/>
              <w:right w:val="single" w:sz="4" w:space="0" w:color="auto"/>
            </w:tcBorders>
            <w:shd w:val="clear" w:color="auto" w:fill="auto"/>
            <w:vAlign w:val="center"/>
            <w:hideMark/>
          </w:tcPr>
          <w:p w:rsidR="00010F86" w:rsidRPr="00010F86" w:rsidRDefault="00010F86" w:rsidP="00010F86">
            <w:pPr>
              <w:spacing w:after="24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Sertifikat perencanaan wilayah </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karena anya 3 orang yang memiliki sertifikat.</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1020"/>
        </w:trPr>
        <w:tc>
          <w:tcPr>
            <w:tcW w:w="714"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PU</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seluruh SDM yang bertugas dalam unit perencana wilayah tidak memiliki sertifikat perencanaan </w:t>
            </w:r>
            <w:r w:rsidRPr="00010F86">
              <w:rPr>
                <w:rFonts w:ascii="Times New Roman" w:eastAsia="Times New Roman" w:hAnsi="Times New Roman" w:cs="Times New Roman"/>
                <w:color w:val="000000"/>
                <w:sz w:val="20"/>
                <w:szCs w:val="20"/>
                <w:lang w:eastAsia="id-ID"/>
              </w:rPr>
              <w:lastRenderedPageBreak/>
              <w:t>wilayah</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lastRenderedPageBreak/>
              <w:t>1</w:t>
            </w:r>
          </w:p>
        </w:tc>
      </w:tr>
      <w:tr w:rsidR="00010F86" w:rsidRPr="00010F86" w:rsidTr="00010F86">
        <w:trPr>
          <w:trHeight w:val="1185"/>
        </w:trPr>
        <w:tc>
          <w:tcPr>
            <w:tcW w:w="714"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Bappeda</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seluruh SDM yang bertugas dalam unit perencana wilayah tidak memiliki sertifikat perencanaan wilayah</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3928" w:type="dxa"/>
            <w:gridSpan w:val="3"/>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010F86" w:rsidRPr="00010F86" w:rsidTr="00010F86">
        <w:trPr>
          <w:trHeight w:val="52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single" w:sz="4" w:space="0" w:color="auto"/>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Usulan kegiatan dan DIPA pada tahun yang sama tiga tahun kebelakang,</w:t>
            </w:r>
            <w:r w:rsidRPr="00010F86">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BIc1</w:t>
            </w:r>
          </w:p>
        </w:tc>
        <w:tc>
          <w:tcPr>
            <w:tcW w:w="1438" w:type="dxa"/>
            <w:vMerge w:val="restart"/>
            <w:tcBorders>
              <w:top w:val="nil"/>
              <w:left w:val="single" w:sz="4" w:space="0" w:color="auto"/>
              <w:bottom w:val="single" w:sz="4" w:space="0" w:color="000000"/>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000000" w:fill="000000"/>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r>
      <w:tr w:rsidR="00010F86" w:rsidRPr="00010F86" w:rsidTr="00010F86">
        <w:trPr>
          <w:trHeight w:val="255"/>
        </w:trPr>
        <w:tc>
          <w:tcPr>
            <w:tcW w:w="714"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Dinas Pertanian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000000" w:fill="000000"/>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r>
      <w:tr w:rsidR="00010F86" w:rsidRPr="00010F86" w:rsidTr="00010F86">
        <w:trPr>
          <w:trHeight w:val="255"/>
        </w:trPr>
        <w:tc>
          <w:tcPr>
            <w:tcW w:w="714"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BPN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000000" w:fill="000000"/>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010F86" w:rsidRPr="00010F86" w:rsidTr="00010F86">
        <w:trPr>
          <w:trHeight w:val="67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BId1</w:t>
            </w:r>
          </w:p>
        </w:tc>
        <w:tc>
          <w:tcPr>
            <w:tcW w:w="143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Pembagian tugas</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Konflik yang pernah tejadi dapat diselesaikan dengan baik, dimana konflik yang terjadi semakin berkurang tiap tahunnya.</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BId2</w:t>
            </w:r>
          </w:p>
        </w:tc>
        <w:tc>
          <w:tcPr>
            <w:tcW w:w="143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Struktur Organisasi </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instansi ini (dinas kehutanan dan perkebunan) belum memiliki Struktur Organisasi dalam SOP penyelesaian konflik perencanaan kawasan yang baku (belum ada SOP baku).</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2</w:t>
            </w:r>
          </w:p>
        </w:tc>
      </w:tr>
      <w:tr w:rsidR="00010F86" w:rsidRPr="00010F86" w:rsidTr="00010F86">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BId3</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Tahapan pelaksanaan penyelesaian konflik</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Tahapan pelaksanaan penyelesaian dalam SOP penyelesaian konflik perencanaan kawasan di instansi kehutanan adalah memadai.</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4</w:t>
            </w:r>
          </w:p>
        </w:tc>
      </w:tr>
      <w:tr w:rsidR="00010F86" w:rsidRPr="00010F86" w:rsidTr="00010F86">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BId4</w:t>
            </w:r>
          </w:p>
        </w:tc>
        <w:tc>
          <w:tcPr>
            <w:tcW w:w="143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Keterlibatan masyarakat</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Masyarakat terlibat dalam penyelesaian konflik perencanaan kawasan kehutanan.</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BId5</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Mekanisme pengambilan keputusan</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Mekanisme pengambilan keputusan dalam SOP penyelesaian konflik perencanaan kawasan di instansi kehutanan selalu mengacu pada peraturan yang ada</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4</w:t>
            </w:r>
          </w:p>
        </w:tc>
      </w:tr>
      <w:tr w:rsidR="00010F86" w:rsidRPr="00010F86" w:rsidTr="00010F86">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BId6</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Tata waktu penyelesaian konflik</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Tata waktu penyelesaian konflik dalam SOP penyelesaian konflik perencanaan kawasan di instansi kehutanan sangat tergantung dari konflik yang terjadi. Terkadang ada konflik dapat diselesaikan dalam waktu yang cepat, dan juga terkadang ada konflik yang cukup memakan waktu banyak</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BId7</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Mekanisme penyampaian informasi proses dan hasil penyelesaian konflik</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cukup memadai. Selama ini penyampain proses dan hasil penyelesaian terkait konflik selama ini selalu dilakukan </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4080"/>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lastRenderedPageBreak/>
              <w:t>BIe1</w:t>
            </w:r>
          </w:p>
        </w:tc>
        <w:tc>
          <w:tcPr>
            <w:tcW w:w="1438" w:type="dxa"/>
            <w:vMerge w:val="restart"/>
            <w:tcBorders>
              <w:top w:val="nil"/>
              <w:left w:val="single" w:sz="4" w:space="0" w:color="auto"/>
              <w:bottom w:val="single" w:sz="4" w:space="0" w:color="000000"/>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w:t>
            </w:r>
          </w:p>
        </w:tc>
        <w:tc>
          <w:tcPr>
            <w:tcW w:w="1776" w:type="dxa"/>
            <w:vMerge w:val="restart"/>
            <w:tcBorders>
              <w:top w:val="nil"/>
              <w:left w:val="single" w:sz="4" w:space="0" w:color="auto"/>
              <w:bottom w:val="single" w:sz="4" w:space="0" w:color="000000"/>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DPRD</w:t>
            </w:r>
          </w:p>
        </w:tc>
        <w:tc>
          <w:tcPr>
            <w:tcW w:w="1528" w:type="dxa"/>
            <w:tcBorders>
              <w:top w:val="nil"/>
              <w:left w:val="nil"/>
              <w:bottom w:val="single" w:sz="4" w:space="0" w:color="auto"/>
              <w:right w:val="single" w:sz="4" w:space="0" w:color="auto"/>
            </w:tcBorders>
            <w:shd w:val="clear" w:color="000000" w:fill="000000"/>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w:t>
            </w:r>
          </w:p>
        </w:tc>
        <w:tc>
          <w:tcPr>
            <w:tcW w:w="1182" w:type="dxa"/>
            <w:tcBorders>
              <w:top w:val="nil"/>
              <w:left w:val="nil"/>
              <w:bottom w:val="single" w:sz="4" w:space="0" w:color="auto"/>
              <w:right w:val="single" w:sz="4" w:space="0" w:color="auto"/>
            </w:tcBorders>
            <w:shd w:val="clear" w:color="000000" w:fill="000000"/>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sz w:val="20"/>
                <w:szCs w:val="20"/>
                <w:lang w:eastAsia="id-ID"/>
              </w:rPr>
            </w:pPr>
            <w:r w:rsidRPr="00010F86">
              <w:rPr>
                <w:rFonts w:ascii="Times New Roman" w:eastAsia="Times New Roman" w:hAnsi="Times New Roman" w:cs="Times New Roman"/>
                <w:sz w:val="20"/>
                <w:szCs w:val="20"/>
                <w:lang w:eastAsia="id-ID"/>
              </w:rPr>
              <w:t>Jawaban Responden mengenai jumlah legislator yang memperjuangkan perencanaan wilayah berbasis kelestarian hutan dan berkeadilan bagi masyarakat adalah ada yaitu 4 orang terutama dari fraksi PKS, jumlahnya memadai. Ketika saya menyinggung mengenai pembentukan kelembagaan REDD+ di Kabupaten Nunukan, Beliau sangat mendukung kelembagaan tersebut. Bahkan beliau menyayangkan kelembagaan tersebut belum ada di Kabupaten Nunukan.</w:t>
            </w:r>
          </w:p>
        </w:tc>
        <w:tc>
          <w:tcPr>
            <w:tcW w:w="13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sz w:val="20"/>
                <w:szCs w:val="20"/>
                <w:lang w:eastAsia="id-ID"/>
              </w:rPr>
            </w:pPr>
            <w:r w:rsidRPr="00010F86">
              <w:rPr>
                <w:rFonts w:ascii="Times New Roman" w:eastAsia="Times New Roman" w:hAnsi="Times New Roman" w:cs="Times New Roman"/>
                <w:b/>
                <w:bCs/>
                <w:sz w:val="20"/>
                <w:szCs w:val="20"/>
                <w:lang w:eastAsia="id-ID"/>
              </w:rPr>
              <w:t>4</w:t>
            </w:r>
          </w:p>
        </w:tc>
      </w:tr>
      <w:tr w:rsidR="00010F86" w:rsidRPr="00010F86" w:rsidTr="00010F86">
        <w:trPr>
          <w:trHeight w:val="1020"/>
        </w:trPr>
        <w:tc>
          <w:tcPr>
            <w:tcW w:w="714"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776"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000000" w:fill="000000"/>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c>
          <w:tcPr>
            <w:tcW w:w="1182" w:type="dxa"/>
            <w:tcBorders>
              <w:top w:val="nil"/>
              <w:left w:val="nil"/>
              <w:bottom w:val="single" w:sz="4" w:space="0" w:color="auto"/>
              <w:right w:val="single" w:sz="4" w:space="0" w:color="auto"/>
            </w:tcBorders>
            <w:shd w:val="clear" w:color="000000" w:fill="000000"/>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Responden tidak mengetahui jumlah legislator yang pernah menyuarakan dan memperjuangkan perencanaan wilayah </w:t>
            </w:r>
          </w:p>
        </w:tc>
        <w:tc>
          <w:tcPr>
            <w:tcW w:w="1382" w:type="dxa"/>
            <w:tcBorders>
              <w:top w:val="nil"/>
              <w:left w:val="nil"/>
              <w:bottom w:val="single" w:sz="4" w:space="0" w:color="auto"/>
              <w:right w:val="single" w:sz="4" w:space="0" w:color="auto"/>
            </w:tcBorders>
            <w:shd w:val="clear" w:color="000000" w:fill="FFFFFF"/>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r>
      <w:tr w:rsidR="00010F86" w:rsidRPr="00010F86" w:rsidTr="00010F86">
        <w:trPr>
          <w:trHeight w:val="1020"/>
        </w:trPr>
        <w:tc>
          <w:tcPr>
            <w:tcW w:w="714"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776"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PU</w:t>
            </w:r>
          </w:p>
        </w:tc>
        <w:tc>
          <w:tcPr>
            <w:tcW w:w="1528" w:type="dxa"/>
            <w:tcBorders>
              <w:top w:val="nil"/>
              <w:left w:val="nil"/>
              <w:bottom w:val="single" w:sz="4" w:space="0" w:color="auto"/>
              <w:right w:val="single" w:sz="4" w:space="0" w:color="auto"/>
            </w:tcBorders>
            <w:shd w:val="clear" w:color="000000" w:fill="000000"/>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c>
          <w:tcPr>
            <w:tcW w:w="1182" w:type="dxa"/>
            <w:tcBorders>
              <w:top w:val="nil"/>
              <w:left w:val="nil"/>
              <w:bottom w:val="single" w:sz="4" w:space="0" w:color="auto"/>
              <w:right w:val="single" w:sz="4" w:space="0" w:color="auto"/>
            </w:tcBorders>
            <w:shd w:val="clear" w:color="000000" w:fill="000000"/>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Responden tidak mengetahui jumlah legislator yang pernah menyuarakan dan memperjuangkan perencanaan wilayah </w:t>
            </w:r>
          </w:p>
        </w:tc>
        <w:tc>
          <w:tcPr>
            <w:tcW w:w="1382" w:type="dxa"/>
            <w:tcBorders>
              <w:top w:val="nil"/>
              <w:left w:val="nil"/>
              <w:bottom w:val="single" w:sz="4" w:space="0" w:color="auto"/>
              <w:right w:val="single" w:sz="4" w:space="0" w:color="auto"/>
            </w:tcBorders>
            <w:shd w:val="clear" w:color="000000" w:fill="FFFFFF"/>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r>
      <w:tr w:rsidR="00010F86" w:rsidRPr="00010F86" w:rsidTr="00010F86">
        <w:trPr>
          <w:trHeight w:val="510"/>
        </w:trPr>
        <w:tc>
          <w:tcPr>
            <w:tcW w:w="714"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776"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LSM</w:t>
            </w:r>
          </w:p>
        </w:tc>
        <w:tc>
          <w:tcPr>
            <w:tcW w:w="1528" w:type="dxa"/>
            <w:tcBorders>
              <w:top w:val="nil"/>
              <w:left w:val="nil"/>
              <w:bottom w:val="nil"/>
              <w:right w:val="nil"/>
            </w:tcBorders>
            <w:shd w:val="clear" w:color="000000" w:fill="000000"/>
            <w:noWrap/>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c>
          <w:tcPr>
            <w:tcW w:w="1182" w:type="dxa"/>
            <w:tcBorders>
              <w:top w:val="nil"/>
              <w:left w:val="single" w:sz="4" w:space="0" w:color="auto"/>
              <w:bottom w:val="nil"/>
              <w:right w:val="single" w:sz="4" w:space="0" w:color="auto"/>
            </w:tcBorders>
            <w:shd w:val="clear" w:color="000000" w:fill="000000"/>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Ada, jumlahnya cukup memadai yaitu </w:t>
            </w:r>
            <w:r w:rsidRPr="00010F86">
              <w:rPr>
                <w:rFonts w:ascii="Calibri" w:eastAsia="Times New Roman" w:hAnsi="Calibri" w:cs="Times New Roman"/>
                <w:color w:val="000000"/>
                <w:sz w:val="20"/>
                <w:szCs w:val="20"/>
                <w:lang w:eastAsia="id-ID"/>
              </w:rPr>
              <w:t>±</w:t>
            </w:r>
            <w:r w:rsidRPr="00010F86">
              <w:rPr>
                <w:rFonts w:ascii="Times New Roman" w:eastAsia="Times New Roman" w:hAnsi="Times New Roman" w:cs="Times New Roman"/>
                <w:color w:val="000000"/>
                <w:sz w:val="20"/>
                <w:szCs w:val="20"/>
                <w:lang w:eastAsia="id-ID"/>
              </w:rPr>
              <w:t>3 orang dari berbagai parpol</w:t>
            </w:r>
          </w:p>
        </w:tc>
        <w:tc>
          <w:tcPr>
            <w:tcW w:w="1382" w:type="dxa"/>
            <w:tcBorders>
              <w:top w:val="nil"/>
              <w:left w:val="single" w:sz="4" w:space="0" w:color="auto"/>
              <w:bottom w:val="nil"/>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1530"/>
        </w:trPr>
        <w:tc>
          <w:tcPr>
            <w:tcW w:w="714"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776"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Jurnalis</w:t>
            </w:r>
          </w:p>
        </w:tc>
        <w:tc>
          <w:tcPr>
            <w:tcW w:w="1528" w:type="dxa"/>
            <w:tcBorders>
              <w:top w:val="single" w:sz="4" w:space="0" w:color="auto"/>
              <w:left w:val="nil"/>
              <w:bottom w:val="single" w:sz="4" w:space="0" w:color="auto"/>
              <w:right w:val="single" w:sz="4" w:space="0" w:color="auto"/>
            </w:tcBorders>
            <w:shd w:val="clear" w:color="000000" w:fill="000000"/>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c>
          <w:tcPr>
            <w:tcW w:w="1182" w:type="dxa"/>
            <w:tcBorders>
              <w:top w:val="single" w:sz="4" w:space="0" w:color="auto"/>
              <w:left w:val="nil"/>
              <w:bottom w:val="single" w:sz="4" w:space="0" w:color="auto"/>
              <w:right w:val="single" w:sz="4" w:space="0" w:color="auto"/>
            </w:tcBorders>
            <w:shd w:val="clear" w:color="000000" w:fill="000000"/>
            <w:noWrap/>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both"/>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Jumlah legislator yang memperjuangkan perencanaan wilayah berbasis kelestarian hutan dan berkeadilan bagi masyarakat jumlahnya cukup memadai yaitu 4 orang anggota DPR</w:t>
            </w:r>
          </w:p>
        </w:tc>
        <w:tc>
          <w:tcPr>
            <w:tcW w:w="1382" w:type="dxa"/>
            <w:tcBorders>
              <w:top w:val="single" w:sz="4" w:space="0" w:color="auto"/>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4</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Isu dalam PGA REDD+</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2740"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II. Pengaturan Hak  </w:t>
            </w: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64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010F86" w:rsidRPr="00010F86" w:rsidTr="00010F86">
        <w:trPr>
          <w:trHeight w:val="36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single" w:sz="4" w:space="0" w:color="auto"/>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BIIa1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Kondisi realisasi rencana kebutuhan SDM </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rencana kebutuhan SDM sudah terpenuhi?</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rencana kebutuhan SDM sudah terpenuhi, 50 % dari kebutuhan.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BIIa2</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Memiliki pendidikan S1 di bidang terkait dengan kehutanan </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kurang memadai. Karena hanya dari pendidikan SMA</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2</w:t>
            </w:r>
          </w:p>
        </w:tc>
      </w:tr>
      <w:tr w:rsidR="00010F86" w:rsidRPr="00010F86" w:rsidTr="00010F86">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lastRenderedPageBreak/>
              <w:t>BIIa3</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cukup memadai. Karena mempunyai pengalaman </w:t>
            </w:r>
            <w:r w:rsidRPr="00010F86">
              <w:rPr>
                <w:rFonts w:ascii="Calibri" w:eastAsia="Times New Roman" w:hAnsi="Calibri" w:cs="Times New Roman"/>
                <w:color w:val="000000"/>
                <w:sz w:val="20"/>
                <w:szCs w:val="20"/>
                <w:lang w:eastAsia="id-ID"/>
              </w:rPr>
              <w:t>±</w:t>
            </w:r>
            <w:r w:rsidRPr="00010F86">
              <w:rPr>
                <w:rFonts w:ascii="Times New Roman" w:eastAsia="Times New Roman" w:hAnsi="Times New Roman" w:cs="Times New Roman"/>
                <w:color w:val="000000"/>
                <w:sz w:val="20"/>
                <w:szCs w:val="20"/>
                <w:lang w:eastAsia="id-ID"/>
              </w:rPr>
              <w:t xml:space="preserve">4 tahun </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BIIa4</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Tidak/belum pernah mengikuti pelatihan.</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73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010F86" w:rsidRPr="00010F86" w:rsidTr="00010F86">
        <w:trPr>
          <w:trHeight w:val="61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BIIb1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 responden tidak mengetahui adanya DIPA terkait pertanyaan yang dimaksud</w:t>
            </w:r>
          </w:p>
        </w:tc>
        <w:tc>
          <w:tcPr>
            <w:tcW w:w="1382" w:type="dxa"/>
            <w:tcBorders>
              <w:top w:val="nil"/>
              <w:left w:val="nil"/>
              <w:bottom w:val="single" w:sz="4" w:space="0" w:color="auto"/>
              <w:right w:val="single" w:sz="4" w:space="0" w:color="auto"/>
            </w:tcBorders>
            <w:shd w:val="clear" w:color="000000" w:fill="FFFFFF"/>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64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010F86" w:rsidRPr="00010F86" w:rsidTr="00010F86">
        <w:trPr>
          <w:trHeight w:val="60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single" w:sz="4" w:space="0" w:color="auto"/>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BIIc1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Komponen Mekanisme-1: Pembagian tugas &amp; tanggung jawab setiap pihak</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Pembagian tugas cukup jelas</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BIIc2</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Komponen Mekanisme-2: Tahapan pelaksanaan kerjasama</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Adanya teknis pelaksaan kerjasama antar unit</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lastRenderedPageBreak/>
              <w:t>BIIc3</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Komponen Mekanisme-3: Mekanisme pengambilan keputusan</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Mekanisme pengambilan keputus-an dalam kerjasama antara unit?</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Adanya teknis mekanisme yang jelasa dalam pengambilan keputusan dan kerjasama antar unit</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BIIc4</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Komponen Mekanisme-4: </w:t>
            </w:r>
            <w:r w:rsidRPr="00010F86">
              <w:rPr>
                <w:rFonts w:ascii="Times New Roman" w:eastAsia="Times New Roman" w:hAnsi="Times New Roman" w:cs="Times New Roman"/>
                <w:color w:val="000000"/>
                <w:sz w:val="20"/>
                <w:szCs w:val="20"/>
                <w:lang w:eastAsia="id-ID"/>
              </w:rPr>
              <w:br/>
              <w:t>Tata waktu pelaksanaan kerjasama</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Tata waktu pelaksanaan kerjasama dalam mekanisme kerjasama antara unit?</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Waktu yang diberikan dalam pelaksanaan disesuaikan dengan jenis kerjasama</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BIIc5</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Komponen Mekanisme-5: Mekanisme pelaporan hasil pelaksanaan kerjasama</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Mekanisme pelaporan hasil pelak-sanaan kerjasama dalam kerjasa-ma antara unit?</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Dimana dalam kurung waktu tertentu ada rapat konsultasi dan evaluasi</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39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010F86" w:rsidRPr="00010F86" w:rsidTr="00010F86">
        <w:trPr>
          <w:trHeight w:val="33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single" w:sz="4" w:space="0" w:color="auto"/>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BIId1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Kondisi realisasi rencana kebutuhan SDM </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rencana kebutuhan SDM sudah terpenuhi?</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sudah tepenuhi sebanyak 75 % dari kebutuhan.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4</w:t>
            </w:r>
          </w:p>
        </w:tc>
      </w:tr>
      <w:tr w:rsidR="00010F86" w:rsidRPr="00010F86" w:rsidTr="00010F86">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BIId2</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Memiliki pendidikan S1 di bidang terkait dengan kehutanan </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SDM berpendidikan S1 kehutanan</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BIId3</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Memilki sertifikat sebagai mediator dalam penanganan</w:t>
            </w:r>
            <w:r w:rsidRPr="00010F86">
              <w:rPr>
                <w:rFonts w:ascii="Times New Roman" w:eastAsia="Times New Roman" w:hAnsi="Times New Roman" w:cs="Times New Roman"/>
                <w:color w:val="000000"/>
                <w:sz w:val="20"/>
                <w:szCs w:val="20"/>
                <w:lang w:eastAsia="id-ID"/>
              </w:rPr>
              <w:br/>
              <w:t>konflik hak atas hutan</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tidak/belum memiliki sertifikat sebagai mediator di bidang konflik hak atas hutan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r>
      <w:tr w:rsidR="00010F86" w:rsidRPr="00010F86" w:rsidTr="00010F86">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BIId4</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cukup memadai. Rata-rata mempunyai pengalaman </w:t>
            </w:r>
            <w:r w:rsidRPr="00010F86">
              <w:rPr>
                <w:rFonts w:ascii="Calibri" w:eastAsia="Times New Roman" w:hAnsi="Calibri" w:cs="Times New Roman"/>
                <w:color w:val="000000"/>
                <w:sz w:val="20"/>
                <w:szCs w:val="20"/>
                <w:lang w:eastAsia="id-ID"/>
              </w:rPr>
              <w:t>±</w:t>
            </w:r>
            <w:r w:rsidRPr="00010F86">
              <w:rPr>
                <w:rFonts w:ascii="Times New Roman" w:eastAsia="Times New Roman" w:hAnsi="Times New Roman" w:cs="Times New Roman"/>
                <w:color w:val="000000"/>
                <w:sz w:val="20"/>
                <w:szCs w:val="20"/>
                <w:lang w:eastAsia="id-ID"/>
              </w:rPr>
              <w:t>4 tahun</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30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5575" w:type="dxa"/>
            <w:gridSpan w:val="4"/>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63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BIIe1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 responden tidak mengetahui adanya DIPA terkait dengan pertanyaan yang dimaksud</w:t>
            </w:r>
          </w:p>
        </w:tc>
        <w:tc>
          <w:tcPr>
            <w:tcW w:w="1382" w:type="dxa"/>
            <w:tcBorders>
              <w:top w:val="nil"/>
              <w:left w:val="nil"/>
              <w:bottom w:val="single" w:sz="4" w:space="0" w:color="auto"/>
              <w:right w:val="single" w:sz="4" w:space="0" w:color="auto"/>
            </w:tcBorders>
            <w:shd w:val="clear" w:color="000000" w:fill="FFFFFF"/>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Isu dalam PGA REDD+</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2740"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III. Pengorganisasian Hutan </w:t>
            </w: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60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010F86" w:rsidRPr="00010F86" w:rsidTr="00010F86">
        <w:trPr>
          <w:trHeight w:val="36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lastRenderedPageBreak/>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single" w:sz="4" w:space="0" w:color="auto"/>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 Kepala TN, BKSDA, KPH Provinsi/Kabupaten </w:t>
            </w: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BIIIa1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212" w:type="dxa"/>
            <w:tcBorders>
              <w:top w:val="nil"/>
              <w:left w:val="nil"/>
              <w:bottom w:val="single" w:sz="4" w:space="0" w:color="auto"/>
              <w:right w:val="single" w:sz="4" w:space="0" w:color="auto"/>
            </w:tcBorders>
            <w:shd w:val="clear" w:color="000000" w:fill="F2DDDC"/>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KPH</w:t>
            </w:r>
          </w:p>
        </w:tc>
        <w:tc>
          <w:tcPr>
            <w:tcW w:w="5745"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Tidak ada</w:t>
            </w:r>
          </w:p>
        </w:tc>
      </w:tr>
      <w:tr w:rsidR="00010F86" w:rsidRPr="00010F86" w:rsidTr="00010F86">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BIIIa2</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Memiliki pendidikan S1 di bidang kehutanan atau terkait</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212" w:type="dxa"/>
            <w:tcBorders>
              <w:top w:val="nil"/>
              <w:left w:val="nil"/>
              <w:bottom w:val="single" w:sz="4" w:space="0" w:color="auto"/>
              <w:right w:val="single" w:sz="4" w:space="0" w:color="auto"/>
            </w:tcBorders>
            <w:shd w:val="clear" w:color="000000" w:fill="F2DDDC"/>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KPH</w:t>
            </w:r>
          </w:p>
        </w:tc>
        <w:tc>
          <w:tcPr>
            <w:tcW w:w="5745" w:type="dxa"/>
            <w:gridSpan w:val="4"/>
            <w:vMerge/>
            <w:tcBorders>
              <w:top w:val="nil"/>
              <w:left w:val="nil"/>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r>
      <w:tr w:rsidR="00010F86" w:rsidRPr="00010F86" w:rsidTr="00010F86">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BIIIa3</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Pernah mendapatkan pelatihan menjadi fasilitator </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212" w:type="dxa"/>
            <w:tcBorders>
              <w:top w:val="nil"/>
              <w:left w:val="nil"/>
              <w:bottom w:val="single" w:sz="4" w:space="0" w:color="auto"/>
              <w:right w:val="single" w:sz="4" w:space="0" w:color="auto"/>
            </w:tcBorders>
            <w:shd w:val="clear" w:color="000000" w:fill="F2DDDC"/>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KPH</w:t>
            </w:r>
          </w:p>
        </w:tc>
        <w:tc>
          <w:tcPr>
            <w:tcW w:w="5745" w:type="dxa"/>
            <w:gridSpan w:val="4"/>
            <w:vMerge/>
            <w:tcBorders>
              <w:top w:val="nil"/>
              <w:left w:val="nil"/>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r>
      <w:tr w:rsidR="00010F86" w:rsidRPr="00010F86" w:rsidTr="00010F86">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BIIIa4</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212" w:type="dxa"/>
            <w:tcBorders>
              <w:top w:val="nil"/>
              <w:left w:val="nil"/>
              <w:bottom w:val="single" w:sz="4" w:space="0" w:color="auto"/>
              <w:right w:val="single" w:sz="4" w:space="0" w:color="auto"/>
            </w:tcBorders>
            <w:shd w:val="clear" w:color="000000" w:fill="F2DDDC"/>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KPH</w:t>
            </w:r>
          </w:p>
        </w:tc>
        <w:tc>
          <w:tcPr>
            <w:tcW w:w="5745" w:type="dxa"/>
            <w:gridSpan w:val="4"/>
            <w:vMerge/>
            <w:tcBorders>
              <w:top w:val="nil"/>
              <w:left w:val="nil"/>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64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010F86" w:rsidRPr="00010F86" w:rsidTr="00010F86">
        <w:trPr>
          <w:trHeight w:val="36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single" w:sz="4" w:space="0" w:color="auto"/>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 Kepala TN, BKSDA, KPH Provinsi/Kabupaten</w:t>
            </w: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BIIIb1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212" w:type="dxa"/>
            <w:tcBorders>
              <w:top w:val="nil"/>
              <w:left w:val="nil"/>
              <w:bottom w:val="single" w:sz="4" w:space="0" w:color="auto"/>
              <w:right w:val="single" w:sz="4" w:space="0" w:color="auto"/>
            </w:tcBorders>
            <w:shd w:val="clear" w:color="000000" w:fill="F2DDDC"/>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KPH</w:t>
            </w:r>
          </w:p>
        </w:tc>
        <w:tc>
          <w:tcPr>
            <w:tcW w:w="5745" w:type="dxa"/>
            <w:gridSpan w:val="4"/>
            <w:tcBorders>
              <w:top w:val="single" w:sz="4" w:space="0" w:color="auto"/>
              <w:left w:val="nil"/>
              <w:bottom w:val="single" w:sz="4" w:space="0" w:color="auto"/>
              <w:right w:val="single" w:sz="4" w:space="0" w:color="000000"/>
            </w:tcBorders>
            <w:shd w:val="clear" w:color="000000" w:fill="F2DDDC"/>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Tidak ada</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3928" w:type="dxa"/>
            <w:gridSpan w:val="3"/>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Isu dalam PGA REDD+</w:t>
            </w:r>
          </w:p>
        </w:tc>
        <w:tc>
          <w:tcPr>
            <w:tcW w:w="5575" w:type="dxa"/>
            <w:gridSpan w:val="4"/>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31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5575" w:type="dxa"/>
            <w:gridSpan w:val="4"/>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a. Jumlah luas kawasan hutan yang dialokasikan untuk masyarakat(?)</w:t>
            </w: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28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5575" w:type="dxa"/>
            <w:gridSpan w:val="4"/>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BIVa1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Jumlah luas kawasan hutan yang dialokasikan untuk masyarakat</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Berapa jumlah luas kawasan hutan yang dialokasikan untuk masyara-kat?</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Jawaban responden adalah pemberian lahan untuk masyarakat tidak ada, yang ada adalah pemberian bibit kepada masyarakat</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34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5575" w:type="dxa"/>
            <w:gridSpan w:val="4"/>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1530"/>
        </w:trPr>
        <w:tc>
          <w:tcPr>
            <w:tcW w:w="714" w:type="dxa"/>
            <w:tcBorders>
              <w:top w:val="nil"/>
              <w:left w:val="single" w:sz="4" w:space="0" w:color="auto"/>
              <w:bottom w:val="single" w:sz="4" w:space="0" w:color="auto"/>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BIVb1</w:t>
            </w:r>
          </w:p>
        </w:tc>
        <w:tc>
          <w:tcPr>
            <w:tcW w:w="1438" w:type="dxa"/>
            <w:tcBorders>
              <w:top w:val="nil"/>
              <w:left w:val="single" w:sz="4" w:space="0" w:color="auto"/>
              <w:bottom w:val="single" w:sz="4" w:space="0" w:color="auto"/>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776" w:type="dxa"/>
            <w:tcBorders>
              <w:top w:val="nil"/>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ada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tidak ada kawasan hutan yang dikelola oleh unit pengelola hutan (KPH).</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36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010F86" w:rsidRPr="00010F86" w:rsidTr="00010F86">
        <w:trPr>
          <w:trHeight w:val="5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BIVc1</w:t>
            </w:r>
          </w:p>
        </w:tc>
        <w:tc>
          <w:tcPr>
            <w:tcW w:w="1438"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 saja dasar pertimbangan yang digunakan dalam pemberian izin</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Kehutanan</w:t>
            </w:r>
          </w:p>
        </w:tc>
        <w:tc>
          <w:tcPr>
            <w:tcW w:w="1528" w:type="dxa"/>
            <w:tcBorders>
              <w:top w:val="nil"/>
              <w:left w:val="nil"/>
              <w:bottom w:val="single" w:sz="4" w:space="0" w:color="auto"/>
              <w:right w:val="single" w:sz="4" w:space="0" w:color="auto"/>
            </w:tcBorders>
            <w:shd w:val="clear" w:color="000000" w:fill="000000"/>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c>
          <w:tcPr>
            <w:tcW w:w="1182" w:type="dxa"/>
            <w:tcBorders>
              <w:top w:val="nil"/>
              <w:left w:val="nil"/>
              <w:bottom w:val="single" w:sz="4" w:space="0" w:color="auto"/>
              <w:right w:val="single" w:sz="4" w:space="0" w:color="auto"/>
            </w:tcBorders>
            <w:shd w:val="clear" w:color="000000" w:fill="000000"/>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mengacu pada peraturan yang ada.</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4</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Isu dalam PGA REDD+</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2740"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V. Pengendalian dan Penegakan Hukum  </w:t>
            </w: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a. Jumlah unit pengelola hutan (KPH) yang menerapkan sistem pengendalian  internal   (LAKIP)</w:t>
            </w: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2740"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Pimpinan KPH Provinsi/Kabupaten </w:t>
            </w: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BVa1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Kinerja KPH dalam penerapan sistem pengendalian internal</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212" w:type="dxa"/>
            <w:tcBorders>
              <w:top w:val="nil"/>
              <w:left w:val="nil"/>
              <w:bottom w:val="single" w:sz="4" w:space="0" w:color="auto"/>
              <w:right w:val="single" w:sz="4" w:space="0" w:color="auto"/>
            </w:tcBorders>
            <w:shd w:val="clear" w:color="000000" w:fill="F2DDDC"/>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KPH</w:t>
            </w:r>
          </w:p>
        </w:tc>
        <w:tc>
          <w:tcPr>
            <w:tcW w:w="5745"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Tidak ada data</w:t>
            </w:r>
          </w:p>
        </w:tc>
      </w:tr>
      <w:tr w:rsidR="00010F86" w:rsidRPr="00010F86" w:rsidTr="00010F86">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BVa2</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212" w:type="dxa"/>
            <w:tcBorders>
              <w:top w:val="nil"/>
              <w:left w:val="nil"/>
              <w:bottom w:val="single" w:sz="4" w:space="0" w:color="auto"/>
              <w:right w:val="single" w:sz="4" w:space="0" w:color="auto"/>
            </w:tcBorders>
            <w:shd w:val="clear" w:color="000000" w:fill="F2DDDC"/>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KPH</w:t>
            </w:r>
          </w:p>
        </w:tc>
        <w:tc>
          <w:tcPr>
            <w:tcW w:w="5745" w:type="dxa"/>
            <w:gridSpan w:val="4"/>
            <w:vMerge/>
            <w:tcBorders>
              <w:top w:val="nil"/>
              <w:left w:val="nil"/>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30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2740"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Bagian kepegawaian Polda/Polres/Polresta</w:t>
            </w: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BVb1</w:t>
            </w:r>
          </w:p>
        </w:tc>
        <w:tc>
          <w:tcPr>
            <w:tcW w:w="1438"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776" w:type="dxa"/>
            <w:tcBorders>
              <w:top w:val="nil"/>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21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Polres</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tersedia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jumlah polisi yang memiliki kualifikasi di bidang kehutanan dan lingkungan cukup memadai</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255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lastRenderedPageBreak/>
              <w:t>BVb2</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Sertifikat/Bukti Keikutsertaan pelatihan</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21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Polres</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tersedia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both"/>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Belum ada  polisi polres kabupaten Nunukan yang memiliki sertifikat atau bukti keikutsertaan pelatihan yang bertugas dalam penegakan hukum bidang kehutanan dan lingkungan hidup sehingga polisi di wilayah polres kabupaten Nunukan memerlukan pelatihan yang terkait dengan kehutanan dan lingkungan hidup.</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r>
      <w:tr w:rsidR="00010F86" w:rsidRPr="00010F86" w:rsidTr="00010F86">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BVb3</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Pengalaman kerja dalam bidang yang terkait pidana kehutanan dan lingkungan</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21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Polres</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tersedia</w:t>
            </w:r>
          </w:p>
        </w:tc>
        <w:tc>
          <w:tcPr>
            <w:tcW w:w="11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 meski para polisi di sini belum pernah mengikuti pelatihan terkait penegakan hukum bidang kehutanan dan lingkungan hidup tetapi pengalaman kerja polisi yang bertugas dalam bidang yang terkait pidana kehutanan dan lingkungan hidup cukup memadai</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45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2740"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Bagian kepegawaian Kejati/Kejari</w:t>
            </w: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BVc1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Kejari</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diberikan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cukup memadai, yaitu 3 orang</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BVc2</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Sertifikat/Bukti Keikutsertaan pelatihan</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Kejari</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diberikan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Belum ada  jaksa yang memiliki sertifikat atau bukti keikutsertaan pelatihan yang bertugas dalam penegakan hukum bidang kehutanan dan lingkungan hidup sehingga jaksa di lingkungan KEJARI Nunukan memerlukan pelatihan yang terkait dengan kehutanan dan lingkungan hidup</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r>
      <w:tr w:rsidR="00010F86" w:rsidRPr="00010F86" w:rsidTr="00010F86">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BVc3</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Pengalaman kerja dalam bidang yang terkait pidana kehutanan dan lingkungan</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Kejari</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diberikan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pengalaman kerja jaksa yang bertugas dalam bidang yang terkait pidana kehutanan dan lingkungan cukup memadai meskipun para jaksa di sini belum pernah mengikuti pelatihan terkait penegakan hukum bidang kehutanan dan lingkungan.</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45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3922" w:type="dxa"/>
            <w:gridSpan w:val="3"/>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Bagian kepegawaian Pengadilan Tinggi/Pengadilan Negeri</w:t>
            </w: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lastRenderedPageBreak/>
              <w:t>BVd1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Pengadilan Negeri</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diberikan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Responden mengatakan bahwa pada Pengadilan Negeri Nunukan tidak ada hakim yang  khusus  yang memiliki kuali-fikasi memadai di bidang kehutanan dan lingkungan (tidak ada hakim yang khusus kehutanan dan lingkungan).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r>
      <w:tr w:rsidR="00010F86" w:rsidRPr="00010F86" w:rsidTr="00010F86">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BVd2</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Sertifikat/Bukti Keikutsertaan pelatihan</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Pengadilan Negeri</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diberikan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tidak ada  hakim yang bertugas dalam penegakan hukum bidang kehutanan dan lingkungan hidup memiliki Sertifikat atau Bukti Keikutsertaan pelatihan.</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r>
      <w:tr w:rsidR="00010F86" w:rsidRPr="00010F86" w:rsidTr="00010F86">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BVd3</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Pengalaman kerja dalam bidang yang terkait pidana kehutanan dan lingkungan</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Pengadilan Negeri</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diberikan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pengalaman kerja hakim yang bertugas dalam bidang yang terkait pidana kehutanan dan lingkungan cukup memadai</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36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3922" w:type="dxa"/>
            <w:gridSpan w:val="3"/>
            <w:tcBorders>
              <w:top w:val="nil"/>
              <w:left w:val="nil"/>
              <w:bottom w:val="nil"/>
              <w:right w:val="nil"/>
            </w:tcBorders>
            <w:shd w:val="clear" w:color="auto" w:fill="auto"/>
            <w:noWrap/>
            <w:vAlign w:val="center"/>
            <w:hideMark/>
          </w:tcPr>
          <w:p w:rsidR="00010F86" w:rsidRPr="00010F86" w:rsidRDefault="00010F86" w:rsidP="00010F86">
            <w:pPr>
              <w:spacing w:after="24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Unit reskrim Polda, Unit reskrim Polres/Polresta</w:t>
            </w: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133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BVe1</w:t>
            </w:r>
          </w:p>
        </w:tc>
        <w:tc>
          <w:tcPr>
            <w:tcW w:w="1438" w:type="dxa"/>
            <w:vMerge w:val="restart"/>
            <w:tcBorders>
              <w:top w:val="nil"/>
              <w:left w:val="single" w:sz="4" w:space="0" w:color="auto"/>
              <w:bottom w:val="single" w:sz="4" w:space="0" w:color="000000"/>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776" w:type="dxa"/>
            <w:vMerge w:val="restart"/>
            <w:tcBorders>
              <w:top w:val="nil"/>
              <w:left w:val="single" w:sz="4" w:space="0" w:color="auto"/>
              <w:bottom w:val="single" w:sz="4" w:space="0" w:color="000000"/>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Kejari</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diberikan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both"/>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jumlah kasus perkara pidana kehutanan/lingkungan yang diserahkan oleh Kepolisian ke kejaksaan dalam lima tahun terakhir semakin hari semakin berkurang. </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1305"/>
        </w:trPr>
        <w:tc>
          <w:tcPr>
            <w:tcW w:w="714"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Polres</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diberikan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both"/>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jumlah kasus perkara pidana kehutanan/lingkungan yang ditangani oleh Kepolisian dalam lima tahun terakhir semakin hari semakin berkurang. </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3</w:t>
            </w:r>
          </w:p>
        </w:tc>
      </w:tr>
      <w:tr w:rsidR="00010F86" w:rsidRPr="00010F86" w:rsidTr="00010F86">
        <w:trPr>
          <w:trHeight w:val="1350"/>
        </w:trPr>
        <w:tc>
          <w:tcPr>
            <w:tcW w:w="714" w:type="dxa"/>
            <w:vMerge/>
            <w:tcBorders>
              <w:top w:val="nil"/>
              <w:left w:val="single" w:sz="4" w:space="0" w:color="auto"/>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vMerge/>
            <w:tcBorders>
              <w:top w:val="nil"/>
              <w:left w:val="single" w:sz="4" w:space="0" w:color="auto"/>
              <w:bottom w:val="single" w:sz="4" w:space="0" w:color="000000"/>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Pengadilan Negeri</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Data tidak diberikan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1</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Responden mengatakan bahwa  jumlah kasus perkara pidana kehutanan/lingkungan yang status hukumnya diputuskan  oleh hakim dalam lima tahun terakhir sudah memadai</w:t>
            </w:r>
          </w:p>
        </w:tc>
        <w:tc>
          <w:tcPr>
            <w:tcW w:w="1382" w:type="dxa"/>
            <w:tcBorders>
              <w:top w:val="nil"/>
              <w:left w:val="nil"/>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4</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Isu dalam PGA REDD+</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2740"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VI. Infrastruktur REDD+</w:t>
            </w: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a.  Keberadaan lembaga REDD+ di Nasional dan Sub nasional</w:t>
            </w:r>
          </w:p>
        </w:tc>
      </w:tr>
      <w:tr w:rsidR="00010F86" w:rsidRPr="00010F86" w:rsidTr="00010F86">
        <w:trPr>
          <w:trHeight w:val="36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5575" w:type="dxa"/>
            <w:gridSpan w:val="4"/>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Nasional: UKP4 (Satgas REDD+)</w:t>
            </w:r>
            <w:r w:rsidRPr="00010F86">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BVIa1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Ada atau tidak adanya lembaga REDD+ di Nasional dan Sub nasional</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terdapat lembaga REDD+ di Nasional dan Sub nasional?</w:t>
            </w:r>
          </w:p>
        </w:tc>
        <w:tc>
          <w:tcPr>
            <w:tcW w:w="1212" w:type="dxa"/>
            <w:tcBorders>
              <w:top w:val="nil"/>
              <w:left w:val="nil"/>
              <w:bottom w:val="single" w:sz="4" w:space="0" w:color="auto"/>
              <w:right w:val="single" w:sz="4" w:space="0" w:color="auto"/>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Satgas REDD+</w:t>
            </w:r>
          </w:p>
        </w:tc>
        <w:tc>
          <w:tcPr>
            <w:tcW w:w="5745"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tidak ada pembentuka satgas REDD+ di Kabupaten Nunukan</w:t>
            </w:r>
          </w:p>
        </w:tc>
      </w:tr>
      <w:tr w:rsidR="00010F86" w:rsidRPr="00010F86" w:rsidTr="00010F86">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lastRenderedPageBreak/>
              <w:t>BVIa2</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dukungan peraturan ter-hadap lembaga REDD+ sudah memadai?</w:t>
            </w:r>
          </w:p>
        </w:tc>
        <w:tc>
          <w:tcPr>
            <w:tcW w:w="1212" w:type="dxa"/>
            <w:tcBorders>
              <w:top w:val="nil"/>
              <w:left w:val="nil"/>
              <w:bottom w:val="single" w:sz="4" w:space="0" w:color="auto"/>
              <w:right w:val="single" w:sz="4" w:space="0" w:color="auto"/>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Satgas REDD+</w:t>
            </w:r>
          </w:p>
        </w:tc>
        <w:tc>
          <w:tcPr>
            <w:tcW w:w="5745" w:type="dxa"/>
            <w:gridSpan w:val="4"/>
            <w:vMerge/>
            <w:tcBorders>
              <w:top w:val="nil"/>
              <w:left w:val="nil"/>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010F86" w:rsidRPr="00010F86" w:rsidTr="00010F86">
        <w:trPr>
          <w:trHeight w:val="58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single" w:sz="4" w:space="0" w:color="auto"/>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Nasional: UKP4 (Satgas REDD+)</w:t>
            </w:r>
            <w:r w:rsidRPr="00010F86">
              <w:rPr>
                <w:rFonts w:ascii="Times New Roman" w:eastAsia="Times New Roman" w:hAnsi="Times New Roman" w:cs="Times New Roman"/>
                <w:b/>
                <w:bCs/>
                <w:color w:val="000000"/>
                <w:sz w:val="20"/>
                <w:szCs w:val="20"/>
                <w:lang w:eastAsia="id-ID"/>
              </w:rPr>
              <w:br/>
              <w:t xml:space="preserve">  Sub nasional: Dinas Kehutanan dan Lingkungan Hidup</w:t>
            </w: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BVIb1</w:t>
            </w:r>
          </w:p>
        </w:tc>
        <w:tc>
          <w:tcPr>
            <w:tcW w:w="1438"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Ada atau tidak adanya lembaga MRV di Nasional dan Sub nasional</w:t>
            </w:r>
          </w:p>
        </w:tc>
        <w:tc>
          <w:tcPr>
            <w:tcW w:w="1776" w:type="dxa"/>
            <w:tcBorders>
              <w:top w:val="nil"/>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terdapat lembaga MRV di Nasional dan Sub nasional?</w:t>
            </w:r>
          </w:p>
        </w:tc>
        <w:tc>
          <w:tcPr>
            <w:tcW w:w="1212" w:type="dxa"/>
            <w:tcBorders>
              <w:top w:val="nil"/>
              <w:left w:val="nil"/>
              <w:bottom w:val="single" w:sz="4" w:space="0" w:color="auto"/>
              <w:right w:val="single" w:sz="4" w:space="0" w:color="auto"/>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Satgas REDD+</w:t>
            </w:r>
          </w:p>
        </w:tc>
        <w:tc>
          <w:tcPr>
            <w:tcW w:w="5745"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tidak ada pembentuka satgas REDD+ di Kabupaten Nunukan</w:t>
            </w:r>
          </w:p>
        </w:tc>
      </w:tr>
      <w:tr w:rsidR="00010F86" w:rsidRPr="00010F86" w:rsidTr="00010F86">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BVIb2</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dukungan peraturan ter-hadap lembaga MRV sudah memadai?</w:t>
            </w:r>
          </w:p>
        </w:tc>
        <w:tc>
          <w:tcPr>
            <w:tcW w:w="1212" w:type="dxa"/>
            <w:tcBorders>
              <w:top w:val="nil"/>
              <w:left w:val="nil"/>
              <w:bottom w:val="single" w:sz="4" w:space="0" w:color="auto"/>
              <w:right w:val="single" w:sz="4" w:space="0" w:color="auto"/>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Satgas REDD+</w:t>
            </w:r>
          </w:p>
        </w:tc>
        <w:tc>
          <w:tcPr>
            <w:tcW w:w="5745" w:type="dxa"/>
            <w:gridSpan w:val="4"/>
            <w:vMerge/>
            <w:tcBorders>
              <w:top w:val="nil"/>
              <w:left w:val="nil"/>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45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3922" w:type="dxa"/>
            <w:gridSpan w:val="3"/>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c. Keberadaan lembaga finansial di Nasional dan Sub nasional</w:t>
            </w: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5575" w:type="dxa"/>
            <w:gridSpan w:val="4"/>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Nasional: UKP4 (Satgas REDD+)</w:t>
            </w:r>
            <w:r w:rsidRPr="00010F86">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BVIc1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Ada atau tidak adanya lembaga finansial di tingkat Nasional dan Sub nasional</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terdapat lembaga finansial di tingkat Nasional dan Sub nasional?</w:t>
            </w:r>
          </w:p>
        </w:tc>
        <w:tc>
          <w:tcPr>
            <w:tcW w:w="1212" w:type="dxa"/>
            <w:tcBorders>
              <w:top w:val="nil"/>
              <w:left w:val="nil"/>
              <w:bottom w:val="single" w:sz="4" w:space="0" w:color="auto"/>
              <w:right w:val="single" w:sz="4" w:space="0" w:color="auto"/>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Satgas REDD+</w:t>
            </w:r>
          </w:p>
        </w:tc>
        <w:tc>
          <w:tcPr>
            <w:tcW w:w="5745"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tidak ada pembentuka satgas REDD+ di Kabupaten Nunukan</w:t>
            </w:r>
          </w:p>
        </w:tc>
      </w:tr>
      <w:tr w:rsidR="00010F86" w:rsidRPr="00010F86" w:rsidTr="00010F86">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BVIc2</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dukungan peraturan ter-hadap lembaga finansial sudah memadai?</w:t>
            </w:r>
          </w:p>
        </w:tc>
        <w:tc>
          <w:tcPr>
            <w:tcW w:w="1212" w:type="dxa"/>
            <w:tcBorders>
              <w:top w:val="nil"/>
              <w:left w:val="nil"/>
              <w:bottom w:val="single" w:sz="4" w:space="0" w:color="auto"/>
              <w:right w:val="single" w:sz="4" w:space="0" w:color="auto"/>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Satgas REDD+</w:t>
            </w:r>
          </w:p>
        </w:tc>
        <w:tc>
          <w:tcPr>
            <w:tcW w:w="5745" w:type="dxa"/>
            <w:gridSpan w:val="4"/>
            <w:vMerge/>
            <w:tcBorders>
              <w:top w:val="nil"/>
              <w:left w:val="nil"/>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45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2740"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Ketua Satgas REDD+/Pokja REDD+</w:t>
            </w: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BVId1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212" w:type="dxa"/>
            <w:tcBorders>
              <w:top w:val="nil"/>
              <w:left w:val="nil"/>
              <w:bottom w:val="single" w:sz="4" w:space="0" w:color="auto"/>
              <w:right w:val="single" w:sz="4" w:space="0" w:color="auto"/>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Satgas REDD+</w:t>
            </w:r>
          </w:p>
        </w:tc>
        <w:tc>
          <w:tcPr>
            <w:tcW w:w="5745"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tidak ada pembentuka satgas REDD+ di Kabupaten Nunukan</w:t>
            </w:r>
          </w:p>
        </w:tc>
      </w:tr>
      <w:tr w:rsidR="00010F86" w:rsidRPr="00010F86" w:rsidTr="00010F86">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BVId2</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212" w:type="dxa"/>
            <w:tcBorders>
              <w:top w:val="nil"/>
              <w:left w:val="nil"/>
              <w:bottom w:val="single" w:sz="4" w:space="0" w:color="auto"/>
              <w:right w:val="single" w:sz="4" w:space="0" w:color="auto"/>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Satgas REDD+</w:t>
            </w:r>
          </w:p>
        </w:tc>
        <w:tc>
          <w:tcPr>
            <w:tcW w:w="5745" w:type="dxa"/>
            <w:gridSpan w:val="4"/>
            <w:vMerge/>
            <w:tcBorders>
              <w:top w:val="nil"/>
              <w:left w:val="nil"/>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r>
      <w:tr w:rsidR="00010F86" w:rsidRPr="00010F86" w:rsidTr="00010F86">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lastRenderedPageBreak/>
              <w:t>BVId3</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212" w:type="dxa"/>
            <w:tcBorders>
              <w:top w:val="nil"/>
              <w:left w:val="nil"/>
              <w:bottom w:val="single" w:sz="4" w:space="0" w:color="auto"/>
              <w:right w:val="single" w:sz="4" w:space="0" w:color="auto"/>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Satgas REDD+</w:t>
            </w:r>
          </w:p>
        </w:tc>
        <w:tc>
          <w:tcPr>
            <w:tcW w:w="5745" w:type="dxa"/>
            <w:gridSpan w:val="4"/>
            <w:vMerge/>
            <w:tcBorders>
              <w:top w:val="nil"/>
              <w:left w:val="nil"/>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5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010F86">
              <w:rPr>
                <w:rFonts w:ascii="Times New Roman" w:eastAsia="Times New Roman" w:hAnsi="Times New Roman" w:cs="Times New Roman"/>
                <w:b/>
                <w:bCs/>
                <w:color w:val="000000"/>
                <w:sz w:val="20"/>
                <w:szCs w:val="20"/>
                <w:lang w:eastAsia="id-ID"/>
              </w:rPr>
              <w:br/>
              <w:t xml:space="preserve"> (Strategi, monitoring, lembaga)</w:t>
            </w:r>
          </w:p>
        </w:tc>
      </w:tr>
      <w:tr w:rsidR="00010F86" w:rsidRPr="00010F86" w:rsidTr="00010F86">
        <w:trPr>
          <w:trHeight w:val="36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single" w:sz="4" w:space="0" w:color="auto"/>
              <w:right w:val="nil"/>
            </w:tcBorders>
            <w:shd w:val="clear" w:color="auto" w:fill="auto"/>
            <w:vAlign w:val="center"/>
            <w:hideMark/>
          </w:tcPr>
          <w:p w:rsidR="00010F86" w:rsidRPr="00010F86" w:rsidRDefault="00010F86" w:rsidP="00010F86">
            <w:pPr>
              <w:spacing w:after="24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Nasional: Ketua Satgas REDD+</w:t>
            </w: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BVIe1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212" w:type="dxa"/>
            <w:tcBorders>
              <w:top w:val="nil"/>
              <w:left w:val="nil"/>
              <w:bottom w:val="single" w:sz="4" w:space="0" w:color="auto"/>
              <w:right w:val="single" w:sz="4" w:space="0" w:color="auto"/>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Satgas REDD+</w:t>
            </w:r>
          </w:p>
        </w:tc>
        <w:tc>
          <w:tcPr>
            <w:tcW w:w="5745" w:type="dxa"/>
            <w:gridSpan w:val="4"/>
            <w:tcBorders>
              <w:top w:val="single" w:sz="4" w:space="0" w:color="auto"/>
              <w:left w:val="nil"/>
              <w:bottom w:val="single" w:sz="4" w:space="0" w:color="auto"/>
              <w:right w:val="single" w:sz="4" w:space="0" w:color="000000"/>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tidak ada pembentuka satgas REDD+ di Kabupaten Nunukan</w:t>
            </w: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450"/>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r>
      <w:tr w:rsidR="00010F86" w:rsidRPr="00010F86" w:rsidTr="00010F86">
        <w:trPr>
          <w:trHeight w:val="70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single" w:sz="4" w:space="0" w:color="auto"/>
              <w:right w:val="nil"/>
            </w:tcBorders>
            <w:shd w:val="clear" w:color="auto" w:fill="auto"/>
            <w:vAlign w:val="center"/>
            <w:hideMark/>
          </w:tcPr>
          <w:p w:rsidR="00010F86" w:rsidRPr="00010F86" w:rsidRDefault="00010F86" w:rsidP="00010F86">
            <w:pPr>
              <w:spacing w:after="24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:Nasional: UKP4 (Satgas REDD+)</w:t>
            </w:r>
            <w:r w:rsidRPr="00010F86">
              <w:rPr>
                <w:rFonts w:ascii="Times New Roman" w:eastAsia="Times New Roman" w:hAnsi="Times New Roman" w:cs="Times New Roman"/>
                <w:b/>
                <w:bCs/>
                <w:color w:val="000000"/>
                <w:sz w:val="20"/>
                <w:szCs w:val="20"/>
                <w:lang w:eastAsia="id-ID"/>
              </w:rPr>
              <w:br/>
              <w:t xml:space="preserve">  Sub nasional: Dinas Kehutanan dan Lingkungan Hidup</w:t>
            </w: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BVIf1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Ada atau tidak adanya kerangka pengaman di tingkat Nasional dan Sub nasional</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terdapat kerangka pengaman di tingkat Nasional dan Sub nasional?</w:t>
            </w:r>
          </w:p>
        </w:tc>
        <w:tc>
          <w:tcPr>
            <w:tcW w:w="1212" w:type="dxa"/>
            <w:tcBorders>
              <w:top w:val="nil"/>
              <w:left w:val="nil"/>
              <w:bottom w:val="single" w:sz="4" w:space="0" w:color="auto"/>
              <w:right w:val="single" w:sz="4" w:space="0" w:color="auto"/>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Satgas REDD+</w:t>
            </w:r>
          </w:p>
        </w:tc>
        <w:tc>
          <w:tcPr>
            <w:tcW w:w="5745"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tidak ada pembentuka satgas REDD+ di Kabupaten Nunukan</w:t>
            </w:r>
          </w:p>
        </w:tc>
      </w:tr>
      <w:tr w:rsidR="00010F86" w:rsidRPr="00010F86" w:rsidTr="00010F86">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BVIf2</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24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dukungan peraturan ter-hadap kerangka pengaman sudah memadai?</w:t>
            </w:r>
          </w:p>
        </w:tc>
        <w:tc>
          <w:tcPr>
            <w:tcW w:w="1212" w:type="dxa"/>
            <w:tcBorders>
              <w:top w:val="nil"/>
              <w:left w:val="nil"/>
              <w:bottom w:val="single" w:sz="4" w:space="0" w:color="auto"/>
              <w:right w:val="single" w:sz="4" w:space="0" w:color="auto"/>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Satgas REDD+</w:t>
            </w:r>
          </w:p>
        </w:tc>
        <w:tc>
          <w:tcPr>
            <w:tcW w:w="5745" w:type="dxa"/>
            <w:gridSpan w:val="4"/>
            <w:vMerge/>
            <w:tcBorders>
              <w:top w:val="nil"/>
              <w:left w:val="nil"/>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r>
      <w:tr w:rsidR="00010F86" w:rsidRPr="00010F86" w:rsidTr="00010F86">
        <w:trPr>
          <w:trHeight w:val="255"/>
        </w:trPr>
        <w:tc>
          <w:tcPr>
            <w:tcW w:w="714"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43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776"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21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528"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p>
        </w:tc>
      </w:tr>
      <w:tr w:rsidR="00010F86" w:rsidRPr="00010F86" w:rsidTr="00010F86">
        <w:trPr>
          <w:trHeight w:val="5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Indikator</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6957" w:type="dxa"/>
            <w:gridSpan w:val="5"/>
            <w:tcBorders>
              <w:top w:val="nil"/>
              <w:left w:val="nil"/>
              <w:bottom w:val="nil"/>
              <w:right w:val="nil"/>
            </w:tcBorders>
            <w:shd w:val="clear" w:color="auto" w:fill="auto"/>
            <w:vAlign w:val="center"/>
            <w:hideMark/>
          </w:tcPr>
          <w:p w:rsidR="00010F86" w:rsidRPr="00010F86" w:rsidRDefault="00010F86" w:rsidP="00010F86">
            <w:pPr>
              <w:spacing w:after="24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010F86">
              <w:rPr>
                <w:rFonts w:ascii="Times New Roman" w:eastAsia="Times New Roman" w:hAnsi="Times New Roman" w:cs="Times New Roman"/>
                <w:b/>
                <w:bCs/>
                <w:color w:val="000000"/>
                <w:sz w:val="20"/>
                <w:szCs w:val="20"/>
                <w:lang w:eastAsia="id-ID"/>
              </w:rPr>
              <w:br/>
              <w:t xml:space="preserve">  akibat pembagian hasil REDD+</w:t>
            </w:r>
          </w:p>
        </w:tc>
      </w:tr>
      <w:tr w:rsidR="00010F86" w:rsidRPr="00010F86" w:rsidTr="00010F86">
        <w:trPr>
          <w:trHeight w:val="255"/>
        </w:trPr>
        <w:tc>
          <w:tcPr>
            <w:tcW w:w="2152"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Wawancara - Sumber informasi</w:t>
            </w:r>
          </w:p>
        </w:tc>
        <w:tc>
          <w:tcPr>
            <w:tcW w:w="1776"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2740" w:type="dxa"/>
            <w:gridSpan w:val="2"/>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 Ketua Satgas REDD+/Pokja REDD+</w:t>
            </w:r>
          </w:p>
        </w:tc>
        <w:tc>
          <w:tcPr>
            <w:tcW w:w="11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653" w:type="dxa"/>
            <w:tcBorders>
              <w:top w:val="nil"/>
              <w:left w:val="nil"/>
              <w:bottom w:val="nil"/>
              <w:right w:val="nil"/>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p>
        </w:tc>
      </w:tr>
      <w:tr w:rsidR="00010F86" w:rsidRPr="00010F86" w:rsidTr="00010F86">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Kode</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Panduan Analisis Dokumen</w:t>
            </w:r>
          </w:p>
        </w:tc>
        <w:tc>
          <w:tcPr>
            <w:tcW w:w="1776"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Pertanyaan Wawancara</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Sumber Data</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Dokumen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Dokumen</w:t>
            </w:r>
          </w:p>
        </w:tc>
        <w:tc>
          <w:tcPr>
            <w:tcW w:w="1653"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jc w:val="center"/>
              <w:rPr>
                <w:rFonts w:ascii="Times New Roman" w:eastAsia="Times New Roman" w:hAnsi="Times New Roman" w:cs="Times New Roman"/>
                <w:b/>
                <w:bCs/>
                <w:color w:val="000000"/>
                <w:sz w:val="20"/>
                <w:szCs w:val="20"/>
                <w:lang w:eastAsia="id-ID"/>
              </w:rPr>
            </w:pPr>
            <w:r w:rsidRPr="00010F86">
              <w:rPr>
                <w:rFonts w:ascii="Times New Roman" w:eastAsia="Times New Roman" w:hAnsi="Times New Roman" w:cs="Times New Roman"/>
                <w:b/>
                <w:bCs/>
                <w:color w:val="000000"/>
                <w:sz w:val="20"/>
                <w:szCs w:val="20"/>
                <w:lang w:eastAsia="id-ID"/>
              </w:rPr>
              <w:t>Kategori Data Wawancara</w:t>
            </w:r>
          </w:p>
        </w:tc>
      </w:tr>
      <w:tr w:rsidR="00010F86" w:rsidRPr="00010F86" w:rsidTr="00010F86">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BVIg1</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212" w:type="dxa"/>
            <w:tcBorders>
              <w:top w:val="nil"/>
              <w:left w:val="nil"/>
              <w:bottom w:val="single" w:sz="4" w:space="0" w:color="auto"/>
              <w:right w:val="single" w:sz="4" w:space="0" w:color="auto"/>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Satgas REDD+</w:t>
            </w:r>
          </w:p>
        </w:tc>
        <w:tc>
          <w:tcPr>
            <w:tcW w:w="5745"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tidak ada pembentuka satgas REDD+ di Kabupaten Nunukan</w:t>
            </w:r>
          </w:p>
        </w:tc>
      </w:tr>
      <w:tr w:rsidR="00010F86" w:rsidRPr="00010F86" w:rsidTr="00010F86">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BVIg2</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Sertifikat/Bukti Keikutsertaan pelatihan mediasi konflik pembagian hasil REDD+</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212" w:type="dxa"/>
            <w:tcBorders>
              <w:top w:val="nil"/>
              <w:left w:val="nil"/>
              <w:bottom w:val="single" w:sz="4" w:space="0" w:color="auto"/>
              <w:right w:val="single" w:sz="4" w:space="0" w:color="auto"/>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Satgas REDD+</w:t>
            </w:r>
          </w:p>
        </w:tc>
        <w:tc>
          <w:tcPr>
            <w:tcW w:w="5745" w:type="dxa"/>
            <w:gridSpan w:val="4"/>
            <w:vMerge/>
            <w:tcBorders>
              <w:top w:val="nil"/>
              <w:left w:val="nil"/>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r>
      <w:tr w:rsidR="00010F86" w:rsidRPr="00010F86" w:rsidTr="00010F86">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lastRenderedPageBreak/>
              <w:t>BVIg3</w:t>
            </w:r>
          </w:p>
        </w:tc>
        <w:tc>
          <w:tcPr>
            <w:tcW w:w="1438"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 xml:space="preserve">Pengalaman kerja dalam medi-asi konflik pembagian hasil REDD+ </w:t>
            </w:r>
          </w:p>
        </w:tc>
        <w:tc>
          <w:tcPr>
            <w:tcW w:w="1776" w:type="dxa"/>
            <w:tcBorders>
              <w:top w:val="nil"/>
              <w:left w:val="nil"/>
              <w:bottom w:val="single" w:sz="4" w:space="0" w:color="auto"/>
              <w:right w:val="single" w:sz="4" w:space="0" w:color="auto"/>
            </w:tcBorders>
            <w:shd w:val="clear" w:color="auto" w:fill="auto"/>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212" w:type="dxa"/>
            <w:tcBorders>
              <w:top w:val="nil"/>
              <w:left w:val="nil"/>
              <w:bottom w:val="single" w:sz="4" w:space="0" w:color="auto"/>
              <w:right w:val="single" w:sz="4" w:space="0" w:color="auto"/>
            </w:tcBorders>
            <w:shd w:val="clear" w:color="000000" w:fill="F2DDDC"/>
            <w:noWrap/>
            <w:vAlign w:val="center"/>
            <w:hideMark/>
          </w:tcPr>
          <w:p w:rsidR="00010F86" w:rsidRPr="00010F86" w:rsidRDefault="00010F86" w:rsidP="00010F86">
            <w:pPr>
              <w:spacing w:after="0" w:line="240" w:lineRule="auto"/>
              <w:jc w:val="center"/>
              <w:rPr>
                <w:rFonts w:ascii="Times New Roman" w:eastAsia="Times New Roman" w:hAnsi="Times New Roman" w:cs="Times New Roman"/>
                <w:color w:val="000000"/>
                <w:sz w:val="20"/>
                <w:szCs w:val="20"/>
                <w:lang w:eastAsia="id-ID"/>
              </w:rPr>
            </w:pPr>
            <w:r w:rsidRPr="00010F86">
              <w:rPr>
                <w:rFonts w:ascii="Times New Roman" w:eastAsia="Times New Roman" w:hAnsi="Times New Roman" w:cs="Times New Roman"/>
                <w:color w:val="000000"/>
                <w:sz w:val="20"/>
                <w:szCs w:val="20"/>
                <w:lang w:eastAsia="id-ID"/>
              </w:rPr>
              <w:t>Satgas REDD+</w:t>
            </w:r>
          </w:p>
        </w:tc>
        <w:tc>
          <w:tcPr>
            <w:tcW w:w="5745" w:type="dxa"/>
            <w:gridSpan w:val="4"/>
            <w:vMerge/>
            <w:tcBorders>
              <w:top w:val="nil"/>
              <w:left w:val="nil"/>
              <w:bottom w:val="single" w:sz="4" w:space="0" w:color="auto"/>
              <w:right w:val="single" w:sz="4" w:space="0" w:color="auto"/>
            </w:tcBorders>
            <w:vAlign w:val="center"/>
            <w:hideMark/>
          </w:tcPr>
          <w:p w:rsidR="00010F86" w:rsidRPr="00010F86" w:rsidRDefault="00010F86" w:rsidP="00010F86">
            <w:pPr>
              <w:spacing w:after="0" w:line="240" w:lineRule="auto"/>
              <w:rPr>
                <w:rFonts w:ascii="Times New Roman" w:eastAsia="Times New Roman" w:hAnsi="Times New Roman" w:cs="Times New Roman"/>
                <w:color w:val="000000"/>
                <w:sz w:val="20"/>
                <w:szCs w:val="20"/>
                <w:lang w:eastAsia="id-ID"/>
              </w:rPr>
            </w:pPr>
          </w:p>
        </w:tc>
      </w:tr>
    </w:tbl>
    <w:p w:rsidR="00010F86" w:rsidRDefault="00010F86"/>
    <w:sectPr w:rsidR="00010F86"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10F86"/>
    <w:rsid w:val="0026067C"/>
    <w:rsid w:val="00265D91"/>
    <w:rsid w:val="004165D1"/>
    <w:rsid w:val="006E5970"/>
    <w:rsid w:val="009F3E98"/>
    <w:rsid w:val="00A91768"/>
    <w:rsid w:val="00AB0645"/>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010F86"/>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010F86"/>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7">
    <w:name w:val="font7"/>
    <w:basedOn w:val="Normal"/>
    <w:rsid w:val="00010F86"/>
    <w:pPr>
      <w:spacing w:before="100" w:beforeAutospacing="1" w:after="100" w:afterAutospacing="1" w:line="240" w:lineRule="auto"/>
    </w:pPr>
    <w:rPr>
      <w:rFonts w:ascii="Calibri" w:eastAsia="Times New Roman" w:hAnsi="Calibri" w:cs="Times New Roman"/>
      <w:color w:val="000000"/>
      <w:sz w:val="20"/>
      <w:szCs w:val="20"/>
      <w:lang w:eastAsia="id-ID"/>
    </w:rPr>
  </w:style>
  <w:style w:type="paragraph" w:customStyle="1" w:styleId="font8">
    <w:name w:val="font8"/>
    <w:basedOn w:val="Normal"/>
    <w:rsid w:val="00010F86"/>
    <w:pPr>
      <w:spacing w:before="100" w:beforeAutospacing="1" w:after="100" w:afterAutospacing="1" w:line="240" w:lineRule="auto"/>
    </w:pPr>
    <w:rPr>
      <w:rFonts w:ascii="Calibri" w:eastAsia="Times New Roman" w:hAnsi="Calibri" w:cs="Times New Roman"/>
      <w:color w:val="000000"/>
      <w:sz w:val="20"/>
      <w:szCs w:val="20"/>
      <w:lang w:eastAsia="id-ID"/>
    </w:rPr>
  </w:style>
  <w:style w:type="paragraph" w:customStyle="1" w:styleId="xl111">
    <w:name w:val="xl111"/>
    <w:basedOn w:val="Normal"/>
    <w:rsid w:val="00010F86"/>
    <w:pPr>
      <w:pBdr>
        <w:bottom w:val="single" w:sz="4" w:space="0" w:color="auto"/>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2">
    <w:name w:val="xl112"/>
    <w:basedOn w:val="Normal"/>
    <w:rsid w:val="00010F8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113">
    <w:name w:val="xl113"/>
    <w:basedOn w:val="Normal"/>
    <w:rsid w:val="00010F8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114">
    <w:name w:val="xl114"/>
    <w:basedOn w:val="Normal"/>
    <w:rsid w:val="00010F8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115">
    <w:name w:val="xl115"/>
    <w:basedOn w:val="Normal"/>
    <w:rsid w:val="00010F8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6">
    <w:name w:val="xl116"/>
    <w:basedOn w:val="Normal"/>
    <w:rsid w:val="00010F8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7">
    <w:name w:val="xl117"/>
    <w:basedOn w:val="Normal"/>
    <w:rsid w:val="00010F86"/>
    <w:pPr>
      <w:pBdr>
        <w:top w:val="single" w:sz="4" w:space="0" w:color="auto"/>
        <w:lef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8">
    <w:name w:val="xl118"/>
    <w:basedOn w:val="Normal"/>
    <w:rsid w:val="00010F86"/>
    <w:pPr>
      <w:pBdr>
        <w:top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9">
    <w:name w:val="xl119"/>
    <w:basedOn w:val="Normal"/>
    <w:rsid w:val="00010F86"/>
    <w:pPr>
      <w:pBdr>
        <w:top w:val="single" w:sz="4" w:space="0" w:color="auto"/>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0">
    <w:name w:val="xl120"/>
    <w:basedOn w:val="Normal"/>
    <w:rsid w:val="00010F86"/>
    <w:pPr>
      <w:pBdr>
        <w:lef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1">
    <w:name w:val="xl121"/>
    <w:basedOn w:val="Normal"/>
    <w:rsid w:val="00010F86"/>
    <w:pP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2">
    <w:name w:val="xl122"/>
    <w:basedOn w:val="Normal"/>
    <w:rsid w:val="00010F86"/>
    <w:pPr>
      <w:pBdr>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3">
    <w:name w:val="xl123"/>
    <w:basedOn w:val="Normal"/>
    <w:rsid w:val="00010F86"/>
    <w:pPr>
      <w:pBdr>
        <w:left w:val="single" w:sz="4" w:space="0" w:color="auto"/>
        <w:bottom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4">
    <w:name w:val="xl124"/>
    <w:basedOn w:val="Normal"/>
    <w:rsid w:val="00010F86"/>
    <w:pPr>
      <w:pBdr>
        <w:bottom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5">
    <w:name w:val="xl125"/>
    <w:basedOn w:val="Normal"/>
    <w:rsid w:val="00010F86"/>
    <w:pPr>
      <w:pBdr>
        <w:bottom w:val="single" w:sz="4" w:space="0" w:color="auto"/>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6">
    <w:name w:val="xl126"/>
    <w:basedOn w:val="Normal"/>
    <w:rsid w:val="00010F86"/>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7">
    <w:name w:val="xl127"/>
    <w:basedOn w:val="Normal"/>
    <w:rsid w:val="00010F86"/>
    <w:pPr>
      <w:pBdr>
        <w:top w:val="single" w:sz="4" w:space="0" w:color="auto"/>
        <w:bottom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8">
    <w:name w:val="xl128"/>
    <w:basedOn w:val="Normal"/>
    <w:rsid w:val="00010F86"/>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9">
    <w:name w:val="xl129"/>
    <w:basedOn w:val="Normal"/>
    <w:rsid w:val="00010F86"/>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30">
    <w:name w:val="xl130"/>
    <w:basedOn w:val="Normal"/>
    <w:rsid w:val="00010F86"/>
    <w:pPr>
      <w:pBdr>
        <w:top w:val="single" w:sz="4" w:space="0" w:color="auto"/>
        <w:bottom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31">
    <w:name w:val="xl131"/>
    <w:basedOn w:val="Normal"/>
    <w:rsid w:val="00010F86"/>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1198080624">
      <w:bodyDiv w:val="1"/>
      <w:marLeft w:val="0"/>
      <w:marRight w:val="0"/>
      <w:marTop w:val="0"/>
      <w:marBottom w:val="0"/>
      <w:divBdr>
        <w:top w:val="none" w:sz="0" w:space="0" w:color="auto"/>
        <w:left w:val="none" w:sz="0" w:space="0" w:color="auto"/>
        <w:bottom w:val="none" w:sz="0" w:space="0" w:color="auto"/>
        <w:right w:val="none" w:sz="0" w:space="0" w:color="auto"/>
      </w:divBdr>
    </w:div>
    <w:div w:id="156899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13</Pages>
  <Words>4835</Words>
  <Characters>27560</Characters>
  <Application>Microsoft Office Word</Application>
  <DocSecurity>0</DocSecurity>
  <Lines>229</Lines>
  <Paragraphs>64</Paragraphs>
  <ScaleCrop>false</ScaleCrop>
  <Company/>
  <LinksUpToDate>false</LinksUpToDate>
  <CharactersWithSpaces>32331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2012-10-16T07:19:00Z</dcterms:modified>
</cp:coreProperties>
</file>